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4C59A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2026年三亚市哲学社会科学规划课题申报指标分配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86"/>
        <w:gridCol w:w="2715"/>
        <w:gridCol w:w="1845"/>
        <w:gridCol w:w="2476"/>
      </w:tblGrid>
      <w:tr w14:paraId="241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3297D0AE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715" w:type="dxa"/>
          </w:tcPr>
          <w:p w14:paraId="6224F99D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1845" w:type="dxa"/>
          </w:tcPr>
          <w:p w14:paraId="413BB669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指标数（项）</w:t>
            </w:r>
          </w:p>
        </w:tc>
        <w:tc>
          <w:tcPr>
            <w:tcW w:w="2476" w:type="dxa"/>
          </w:tcPr>
          <w:p w14:paraId="4F18C871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6E5BD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15CD0DC4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A08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旅游学院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176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476" w:type="dxa"/>
          </w:tcPr>
          <w:p w14:paraId="616634A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BCDB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39AB85B1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E4C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7B6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476" w:type="dxa"/>
          </w:tcPr>
          <w:p w14:paraId="3D452A7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3DE4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043C700A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94E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人文社会科学学院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559E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476" w:type="dxa"/>
          </w:tcPr>
          <w:p w14:paraId="7DE1DC9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F30F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322EE6FB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35E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04FD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476" w:type="dxa"/>
          </w:tcPr>
          <w:p w14:paraId="290D6D2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61A4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406D3AF0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D0F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51E2B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476" w:type="dxa"/>
          </w:tcPr>
          <w:p w14:paraId="4DF516D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6728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60C0D926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644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艺术学院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0659F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476" w:type="dxa"/>
          </w:tcPr>
          <w:p w14:paraId="6A397A4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508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639492C3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04C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创意设计学院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7E24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476" w:type="dxa"/>
          </w:tcPr>
          <w:p w14:paraId="4E71342E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1818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4334BEB4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830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8464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476" w:type="dxa"/>
          </w:tcPr>
          <w:p w14:paraId="09C1548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3D51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74657D2B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65AF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民族学院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18FF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476" w:type="dxa"/>
          </w:tcPr>
          <w:p w14:paraId="436D595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9A0C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2A1E3374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6164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国际学院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5F746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476" w:type="dxa"/>
          </w:tcPr>
          <w:p w14:paraId="1AD9BC6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D192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4A1327E9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DFC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国际航海学院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0CEC7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476" w:type="dxa"/>
          </w:tcPr>
          <w:p w14:paraId="5534B78E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C69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  <w:vAlign w:val="center"/>
          </w:tcPr>
          <w:p w14:paraId="109AC289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D0F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其他单位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57ED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476" w:type="dxa"/>
          </w:tcPr>
          <w:p w14:paraId="158A4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不在名单上的单位限报1项，超过指标数（5项）则择优推荐。</w:t>
            </w:r>
          </w:p>
        </w:tc>
      </w:tr>
      <w:tr w14:paraId="4889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86" w:type="dxa"/>
          </w:tcPr>
          <w:p w14:paraId="037BD36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2715" w:type="dxa"/>
          </w:tcPr>
          <w:p w14:paraId="0AE5B2B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3D66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2476" w:type="dxa"/>
          </w:tcPr>
          <w:p w14:paraId="05F8DE1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EC57869">
      <w:pPr>
        <w:jc w:val="left"/>
        <w:rPr>
          <w:rFonts w:hint="default"/>
          <w:color w:val="FF0000"/>
          <w:lang w:val="en-US" w:eastAsia="zh-CN"/>
        </w:rPr>
      </w:pPr>
    </w:p>
    <w:p w14:paraId="1BB04CCA">
      <w:pPr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注：指标分配依据是各单位近三年的申报数、立项率及结项情况。</w:t>
      </w:r>
    </w:p>
    <w:p w14:paraId="31774628">
      <w:p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E31536"/>
    <w:rsid w:val="02256A93"/>
    <w:rsid w:val="02377801"/>
    <w:rsid w:val="128F29CF"/>
    <w:rsid w:val="1B8371BB"/>
    <w:rsid w:val="29E31536"/>
    <w:rsid w:val="310E38A4"/>
    <w:rsid w:val="54D975B7"/>
    <w:rsid w:val="67C3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2026-03-18T07:28:00Z</dcterms:created>
  <dc:creator>lainey</dc:creator>
  <cp:lastModifiedBy>lainey</cp:lastModifiedBy>
  <dcterms:modified xsi:type="dcterms:W3CDTF">2026-03-18T09:21:15Z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17DEDEB15BFA447A9E7A6D1B8CDD64E5_11</vt:lpwstr>
  </property>
  <property fmtid="{D5CDD505-2E9C-101B-9397-08002B2CF9AE}" pid="4" name="KSOTemplateDocerSaveRecord">
    <vt:lpwstr>eyJoZGlkIjoiODU0YmY4OWUwMTZkMmExYzRlMGQyZWNhNDQ1OWE3YWYiLCJ1c2VySWQiOiI5NzA3NDk5MDAifQ==</vt:lpwstr>
  </property>
</Properties>
</file>