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66FD7">
      <w:pPr>
        <w:keepNext w:val="0"/>
        <w:keepLines w:val="0"/>
        <w:widowControl w:val="0"/>
        <w:suppressLineNumbers w:val="0"/>
        <w:autoSpaceDE w:val="0"/>
        <w:autoSpaceDN/>
        <w:spacing w:before="0" w:beforeAutospacing="0" w:after="0" w:afterAutospacing="0" w:line="560" w:lineRule="exact"/>
        <w:ind w:left="0" w:right="0"/>
        <w:jc w:val="both"/>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附件1</w:t>
      </w:r>
    </w:p>
    <w:p w14:paraId="3F868B00">
      <w:pPr>
        <w:keepNext w:val="0"/>
        <w:keepLines w:val="0"/>
        <w:widowControl w:val="0"/>
        <w:suppressLineNumbers w:val="0"/>
        <w:autoSpaceDE w:val="0"/>
        <w:autoSpaceDN/>
        <w:spacing w:before="0" w:beforeAutospacing="0" w:after="0" w:afterAutospacing="0" w:line="560" w:lineRule="exact"/>
        <w:ind w:left="0" w:right="0"/>
        <w:jc w:val="both"/>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 xml:space="preserve"> </w:t>
      </w:r>
    </w:p>
    <w:p w14:paraId="78CE46D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700" w:lineRule="exact"/>
        <w:ind w:left="0" w:right="0"/>
        <w:jc w:val="center"/>
        <w:textAlignment w:val="auto"/>
        <w:rPr>
          <w:rFonts w:hint="eastAsia" w:ascii="方正小标宋_GBK" w:hAnsi="方正小标宋_GBK" w:eastAsia="方正小标宋_GBK" w:cs="方正小标宋_GBK"/>
          <w:color w:val="auto"/>
          <w:kern w:val="2"/>
          <w:sz w:val="44"/>
          <w:szCs w:val="44"/>
        </w:rPr>
      </w:pPr>
      <w:bookmarkStart w:id="0" w:name="_GoBack"/>
      <w:r>
        <w:rPr>
          <w:rFonts w:hint="eastAsia" w:ascii="方正小标宋_GBK" w:hAnsi="方正小标宋_GBK" w:eastAsia="方正小标宋_GBK" w:cs="方正小标宋_GBK"/>
          <w:color w:val="auto"/>
          <w:kern w:val="2"/>
          <w:sz w:val="44"/>
          <w:szCs w:val="44"/>
          <w:lang w:val="en-US" w:eastAsia="zh-CN" w:bidi="ar"/>
        </w:rPr>
        <w:t>2027年度海南省哲学社会科学规划</w:t>
      </w:r>
    </w:p>
    <w:p w14:paraId="442766D7">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700" w:lineRule="exact"/>
        <w:ind w:left="0" w:right="0"/>
        <w:jc w:val="center"/>
        <w:textAlignment w:val="auto"/>
        <w:rPr>
          <w:rFonts w:hint="eastAsia" w:ascii="方正小标宋_GBK" w:hAnsi="方正小标宋_GBK" w:eastAsia="方正小标宋_GBK" w:cs="方正小标宋_GBK"/>
          <w:color w:val="auto"/>
          <w:kern w:val="2"/>
          <w:sz w:val="44"/>
          <w:szCs w:val="44"/>
        </w:rPr>
      </w:pPr>
      <w:r>
        <w:rPr>
          <w:rFonts w:hint="eastAsia" w:ascii="方正小标宋_GBK" w:hAnsi="方正小标宋_GBK" w:eastAsia="方正小标宋_GBK" w:cs="方正小标宋_GBK"/>
          <w:color w:val="auto"/>
          <w:kern w:val="2"/>
          <w:sz w:val="44"/>
          <w:szCs w:val="44"/>
          <w:lang w:val="en-US" w:eastAsia="zh-CN" w:bidi="ar"/>
        </w:rPr>
        <w:t>（思政专项）课题申报指南</w:t>
      </w:r>
    </w:p>
    <w:bookmarkEnd w:id="0"/>
    <w:p w14:paraId="722A8EE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p>
    <w:p w14:paraId="29A66A4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bidi="ar"/>
        </w:rPr>
        <w:t>1.全国教育大会精神融入学校思政课研究</w:t>
      </w:r>
    </w:p>
    <w:p w14:paraId="251DEDA9">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bidi="ar"/>
        </w:rPr>
        <w:t>2.</w:t>
      </w:r>
      <w:r>
        <w:rPr>
          <w:rFonts w:hint="eastAsia" w:ascii="仿宋_GB2312" w:hAnsi="仿宋_GB2312" w:eastAsia="仿宋_GB2312" w:cs="仿宋_GB2312"/>
          <w:color w:val="auto"/>
          <w:kern w:val="2"/>
          <w:sz w:val="32"/>
          <w:szCs w:val="32"/>
          <w:lang w:val="en-US" w:eastAsia="zh-CN" w:bidi="ar"/>
        </w:rPr>
        <w:t>习近平文化思想引领学校文化育人的实践路径研究</w:t>
      </w:r>
    </w:p>
    <w:p w14:paraId="75BC3FE7">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bidi="ar"/>
        </w:rPr>
        <w:t>3</w:t>
      </w:r>
      <w:r>
        <w:rPr>
          <w:rFonts w:hint="eastAsia" w:ascii="仿宋_GB2312" w:hAnsi="仿宋_GB2312" w:eastAsia="仿宋_GB2312" w:cs="仿宋_GB2312"/>
          <w:color w:val="auto"/>
          <w:kern w:val="2"/>
          <w:sz w:val="32"/>
          <w:szCs w:val="32"/>
          <w:lang w:val="en-US" w:eastAsia="zh-CN" w:bidi="ar"/>
        </w:rPr>
        <w:t>.习近平总书记关于学校思政课建设的重要讲话和重要指示批示精神阐释研究</w:t>
      </w:r>
    </w:p>
    <w:p w14:paraId="2B91B68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bidi="ar"/>
        </w:rPr>
        <w:t>4</w:t>
      </w:r>
      <w:r>
        <w:rPr>
          <w:rFonts w:hint="eastAsia" w:ascii="仿宋_GB2312" w:hAnsi="仿宋_GB2312" w:eastAsia="仿宋_GB2312" w:cs="仿宋_GB2312"/>
          <w:color w:val="auto"/>
          <w:kern w:val="2"/>
          <w:sz w:val="32"/>
          <w:szCs w:val="32"/>
          <w:lang w:val="en-US" w:eastAsia="zh-CN" w:bidi="ar"/>
        </w:rPr>
        <w:t>.习近平新时代中国特色社会主义思想的世界观和方法论融入思政课和课程思政教育教学研究</w:t>
      </w:r>
    </w:p>
    <w:p w14:paraId="5F5169B2">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eastAsia="zh-CN" w:bidi="ar"/>
        </w:rPr>
      </w:pPr>
      <w:r>
        <w:rPr>
          <w:rFonts w:hint="eastAsia" w:ascii="仿宋_GB2312" w:hAnsi="仿宋_GB2312" w:eastAsia="仿宋_GB2312" w:cs="仿宋_GB2312"/>
          <w:color w:val="auto"/>
          <w:kern w:val="2"/>
          <w:sz w:val="32"/>
          <w:szCs w:val="32"/>
          <w:lang w:eastAsia="zh-CN" w:bidi="ar"/>
        </w:rPr>
        <w:t>5</w:t>
      </w:r>
      <w:r>
        <w:rPr>
          <w:rFonts w:hint="eastAsia" w:ascii="仿宋_GB2312" w:hAnsi="仿宋_GB2312" w:eastAsia="仿宋_GB2312" w:cs="仿宋_GB2312"/>
          <w:color w:val="auto"/>
          <w:kern w:val="2"/>
          <w:sz w:val="32"/>
          <w:szCs w:val="32"/>
          <w:lang w:val="en-US" w:eastAsia="zh-CN" w:bidi="ar"/>
        </w:rPr>
        <w:t>.“习近平新时代中国特色社会主义思想概论”课教学</w:t>
      </w:r>
      <w:r>
        <w:rPr>
          <w:rFonts w:hint="eastAsia" w:ascii="仿宋_GB2312" w:hAnsi="仿宋_GB2312" w:eastAsia="仿宋_GB2312" w:cs="仿宋_GB2312"/>
          <w:color w:val="auto"/>
          <w:kern w:val="2"/>
          <w:sz w:val="32"/>
          <w:szCs w:val="32"/>
          <w:lang w:eastAsia="zh-CN" w:bidi="ar"/>
        </w:rPr>
        <w:t>指令提升与创新讲法研究</w:t>
      </w:r>
    </w:p>
    <w:p w14:paraId="0A9370B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eastAsia="zh-CN" w:bidi="ar"/>
        </w:rPr>
        <w:t>6</w:t>
      </w:r>
      <w:r>
        <w:rPr>
          <w:rFonts w:hint="eastAsia" w:ascii="仿宋_GB2312" w:hAnsi="仿宋_GB2312" w:eastAsia="仿宋_GB2312" w:cs="仿宋_GB2312"/>
          <w:color w:val="auto"/>
          <w:kern w:val="2"/>
          <w:sz w:val="32"/>
          <w:szCs w:val="32"/>
          <w:lang w:val="en-US" w:eastAsia="zh-CN" w:bidi="ar"/>
        </w:rPr>
        <w:t>.新时代</w:t>
      </w:r>
      <w:r>
        <w:rPr>
          <w:rFonts w:hint="eastAsia" w:ascii="仿宋_GB2312" w:hAnsi="仿宋_GB2312" w:eastAsia="仿宋_GB2312" w:cs="仿宋_GB2312"/>
          <w:color w:val="auto"/>
          <w:kern w:val="2"/>
          <w:sz w:val="32"/>
          <w:szCs w:val="32"/>
          <w:lang w:eastAsia="zh-CN" w:bidi="ar"/>
        </w:rPr>
        <w:t>伟大变革成功案例</w:t>
      </w:r>
      <w:r>
        <w:rPr>
          <w:rFonts w:hint="eastAsia" w:ascii="仿宋_GB2312" w:hAnsi="仿宋_GB2312" w:eastAsia="仿宋_GB2312" w:cs="仿宋_GB2312"/>
          <w:color w:val="auto"/>
          <w:kern w:val="2"/>
          <w:sz w:val="32"/>
          <w:szCs w:val="32"/>
          <w:lang w:val="en-US" w:eastAsia="zh-CN" w:bidi="ar"/>
        </w:rPr>
        <w:t>融入</w:t>
      </w:r>
      <w:r>
        <w:rPr>
          <w:rFonts w:hint="eastAsia" w:ascii="仿宋_GB2312" w:hAnsi="仿宋_GB2312" w:eastAsia="仿宋_GB2312" w:cs="仿宋_GB2312"/>
          <w:color w:val="auto"/>
          <w:kern w:val="2"/>
          <w:sz w:val="32"/>
          <w:szCs w:val="32"/>
          <w:lang w:eastAsia="zh-CN" w:bidi="ar"/>
        </w:rPr>
        <w:t>学校</w:t>
      </w:r>
      <w:r>
        <w:rPr>
          <w:rFonts w:hint="eastAsia" w:ascii="仿宋_GB2312" w:hAnsi="仿宋_GB2312" w:eastAsia="仿宋_GB2312" w:cs="仿宋_GB2312"/>
          <w:color w:val="auto"/>
          <w:kern w:val="2"/>
          <w:sz w:val="32"/>
          <w:szCs w:val="32"/>
          <w:lang w:val="en-US" w:eastAsia="zh-CN" w:bidi="ar"/>
        </w:rPr>
        <w:t>思政课的教学资源开发研究</w:t>
      </w:r>
    </w:p>
    <w:p w14:paraId="65562F2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eastAsia="zh-CN" w:bidi="ar"/>
        </w:rPr>
      </w:pPr>
      <w:r>
        <w:rPr>
          <w:rFonts w:hint="eastAsia" w:ascii="仿宋_GB2312" w:hAnsi="仿宋_GB2312" w:eastAsia="仿宋_GB2312" w:cs="仿宋_GB2312"/>
          <w:color w:val="auto"/>
          <w:kern w:val="2"/>
          <w:sz w:val="32"/>
          <w:szCs w:val="32"/>
          <w:lang w:eastAsia="zh-CN" w:bidi="ar"/>
        </w:rPr>
        <w:t>7.习近平党建思想融入高校思政课研究</w:t>
      </w:r>
    </w:p>
    <w:p w14:paraId="54C295D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eastAsia="zh-CN" w:bidi="ar"/>
        </w:rPr>
      </w:pPr>
      <w:r>
        <w:rPr>
          <w:rFonts w:hint="eastAsia" w:ascii="仿宋_GB2312" w:hAnsi="仿宋_GB2312" w:eastAsia="仿宋_GB2312" w:cs="仿宋_GB2312"/>
          <w:color w:val="auto"/>
          <w:kern w:val="2"/>
          <w:sz w:val="32"/>
          <w:szCs w:val="32"/>
          <w:lang w:eastAsia="zh-CN" w:bidi="ar"/>
        </w:rPr>
        <w:t>8</w:t>
      </w:r>
      <w:r>
        <w:rPr>
          <w:rFonts w:hint="eastAsia" w:ascii="仿宋_GB2312" w:hAnsi="仿宋_GB2312" w:eastAsia="仿宋_GB2312" w:cs="仿宋_GB2312"/>
          <w:color w:val="auto"/>
          <w:kern w:val="2"/>
          <w:sz w:val="32"/>
          <w:szCs w:val="32"/>
          <w:lang w:val="en-US" w:eastAsia="zh-CN" w:bidi="ar"/>
        </w:rPr>
        <w:t>.</w:t>
      </w:r>
      <w:r>
        <w:rPr>
          <w:rFonts w:hint="eastAsia" w:ascii="仿宋_GB2312" w:hAnsi="仿宋_GB2312" w:eastAsia="仿宋_GB2312" w:cs="仿宋_GB2312"/>
          <w:color w:val="auto"/>
          <w:kern w:val="2"/>
          <w:sz w:val="32"/>
          <w:szCs w:val="32"/>
          <w:lang w:eastAsia="zh-CN" w:bidi="ar"/>
        </w:rPr>
        <w:t>党的创新理论青春化传播资源数据库建设与应用研究</w:t>
      </w:r>
    </w:p>
    <w:p w14:paraId="3DF8E601">
      <w:pPr>
        <w:keepNext w:val="0"/>
        <w:keepLines w:val="0"/>
        <w:pageBreakBefore w:val="0"/>
        <w:widowControl w:val="0"/>
        <w:kinsoku/>
        <w:wordWrap/>
        <w:overflowPunct/>
        <w:topLinePunct w:val="0"/>
        <w:autoSpaceDE w:val="0"/>
        <w:autoSpaceDN/>
        <w:bidi w:val="0"/>
        <w:adjustRightInd/>
        <w:snapToGrid/>
        <w:spacing w:before="0" w:after="0" w:line="62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eastAsia="zh-CN" w:bidi="ar"/>
        </w:rPr>
        <w:t>9</w:t>
      </w:r>
      <w:r>
        <w:rPr>
          <w:rFonts w:hint="eastAsia" w:ascii="仿宋_GB2312" w:hAnsi="仿宋_GB2312" w:eastAsia="仿宋_GB2312" w:cs="仿宋_GB2312"/>
          <w:color w:val="auto"/>
          <w:kern w:val="2"/>
          <w:sz w:val="32"/>
          <w:szCs w:val="32"/>
          <w:lang w:val="en-US" w:eastAsia="zh-CN" w:bidi="ar"/>
        </w:rPr>
        <w:t>.建设教育强国视域下高校思政课改革创新研究</w:t>
      </w:r>
    </w:p>
    <w:p w14:paraId="34C44331">
      <w:pPr>
        <w:keepNext w:val="0"/>
        <w:keepLines w:val="0"/>
        <w:pageBreakBefore w:val="0"/>
        <w:widowControl w:val="0"/>
        <w:kinsoku/>
        <w:wordWrap/>
        <w:overflowPunct/>
        <w:topLinePunct w:val="0"/>
        <w:autoSpaceDE w:val="0"/>
        <w:autoSpaceDN/>
        <w:bidi w:val="0"/>
        <w:adjustRightInd/>
        <w:snapToGrid/>
        <w:spacing w:before="0" w:after="0" w:line="620" w:lineRule="exact"/>
        <w:ind w:firstLine="640" w:firstLineChars="200"/>
        <w:jc w:val="both"/>
        <w:textAlignment w:val="auto"/>
        <w:rPr>
          <w:rFonts w:hint="eastAsia" w:ascii="仿宋_GB2312" w:hAnsi="仿宋_GB2312" w:eastAsia="仿宋_GB2312" w:cs="仿宋_GB2312"/>
          <w:b w:val="0"/>
          <w:bCs w:val="0"/>
          <w:color w:val="auto"/>
          <w:sz w:val="32"/>
          <w:szCs w:val="32"/>
          <w:lang w:bidi="ar"/>
        </w:rPr>
      </w:pPr>
      <w:r>
        <w:rPr>
          <w:rFonts w:hint="eastAsia" w:ascii="仿宋_GB2312" w:hAnsi="仿宋_GB2312" w:eastAsia="仿宋_GB2312" w:cs="仿宋_GB2312"/>
          <w:b w:val="0"/>
          <w:bCs w:val="0"/>
          <w:color w:val="auto"/>
          <w:sz w:val="32"/>
          <w:szCs w:val="32"/>
          <w:lang w:bidi="ar"/>
        </w:rPr>
        <w:t>10.新时代高校思政课课程改革与创新研究</w:t>
      </w:r>
    </w:p>
    <w:p w14:paraId="717AC483">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bidi="ar"/>
        </w:rPr>
        <w:t>11</w:t>
      </w:r>
      <w:r>
        <w:rPr>
          <w:rFonts w:hint="eastAsia" w:ascii="仿宋_GB2312" w:hAnsi="仿宋_GB2312" w:eastAsia="仿宋_GB2312" w:cs="仿宋_GB2312"/>
          <w:color w:val="auto"/>
          <w:kern w:val="2"/>
          <w:sz w:val="32"/>
          <w:szCs w:val="32"/>
          <w:lang w:val="en-US" w:eastAsia="zh-CN" w:bidi="ar"/>
        </w:rPr>
        <w:t>.琼崖精神引领学生理想信念教育研究</w:t>
      </w:r>
    </w:p>
    <w:p w14:paraId="23A76283">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bidi="ar"/>
        </w:rPr>
        <w:t>12</w:t>
      </w:r>
      <w:r>
        <w:rPr>
          <w:rFonts w:hint="eastAsia" w:ascii="仿宋_GB2312" w:hAnsi="仿宋_GB2312" w:eastAsia="仿宋_GB2312" w:cs="仿宋_GB2312"/>
          <w:color w:val="auto"/>
          <w:kern w:val="2"/>
          <w:sz w:val="32"/>
          <w:szCs w:val="32"/>
          <w:lang w:val="en-US" w:eastAsia="zh-CN" w:bidi="ar"/>
        </w:rPr>
        <w:t>.海南国际教育创新岛建设视野下思想政治教育创新研究</w:t>
      </w:r>
    </w:p>
    <w:p w14:paraId="67186719">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bidi="ar"/>
        </w:rPr>
        <w:t>1</w:t>
      </w:r>
      <w:r>
        <w:rPr>
          <w:rFonts w:hint="eastAsia" w:ascii="仿宋_GB2312" w:hAnsi="仿宋_GB2312" w:eastAsia="仿宋_GB2312" w:cs="仿宋_GB2312"/>
          <w:color w:val="auto"/>
          <w:kern w:val="2"/>
          <w:sz w:val="32"/>
          <w:szCs w:val="32"/>
          <w:lang w:eastAsia="zh-CN" w:bidi="ar"/>
        </w:rPr>
        <w:t>3</w:t>
      </w:r>
      <w:r>
        <w:rPr>
          <w:rFonts w:hint="eastAsia" w:ascii="仿宋_GB2312" w:hAnsi="仿宋_GB2312" w:eastAsia="仿宋_GB2312" w:cs="仿宋_GB2312"/>
          <w:color w:val="auto"/>
          <w:kern w:val="2"/>
          <w:sz w:val="32"/>
          <w:szCs w:val="32"/>
          <w:lang w:val="en-US" w:eastAsia="zh-CN" w:bidi="ar"/>
        </w:rPr>
        <w:t>.海南“三度一色”比较优势和“五向图强”关键要素融入学校思想政治教育研究</w:t>
      </w:r>
    </w:p>
    <w:p w14:paraId="01B2247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bidi="ar"/>
        </w:rPr>
        <w:t>1</w:t>
      </w:r>
      <w:r>
        <w:rPr>
          <w:rFonts w:hint="eastAsia" w:ascii="仿宋_GB2312" w:hAnsi="仿宋_GB2312" w:eastAsia="仿宋_GB2312" w:cs="仿宋_GB2312"/>
          <w:color w:val="auto"/>
          <w:kern w:val="2"/>
          <w:sz w:val="32"/>
          <w:szCs w:val="32"/>
          <w:lang w:eastAsia="zh-CN" w:bidi="ar"/>
        </w:rPr>
        <w:t>4</w:t>
      </w:r>
      <w:r>
        <w:rPr>
          <w:rFonts w:hint="eastAsia" w:ascii="仿宋_GB2312" w:hAnsi="仿宋_GB2312" w:eastAsia="仿宋_GB2312" w:cs="仿宋_GB2312"/>
          <w:color w:val="auto"/>
          <w:kern w:val="2"/>
          <w:sz w:val="32"/>
          <w:szCs w:val="32"/>
          <w:lang w:val="en-US" w:eastAsia="zh-CN" w:bidi="ar"/>
        </w:rPr>
        <w:t>.推进海南特色大中小学思政课一体化</w:t>
      </w:r>
      <w:r>
        <w:rPr>
          <w:rFonts w:hint="eastAsia" w:ascii="仿宋_GB2312" w:hAnsi="仿宋_GB2312" w:eastAsia="仿宋_GB2312" w:cs="仿宋_GB2312"/>
          <w:color w:val="auto"/>
          <w:kern w:val="2"/>
          <w:sz w:val="32"/>
          <w:szCs w:val="32"/>
          <w:lang w:eastAsia="zh-CN" w:bidi="ar"/>
        </w:rPr>
        <w:t>改革创新的体制机制</w:t>
      </w:r>
      <w:r>
        <w:rPr>
          <w:rFonts w:hint="eastAsia" w:ascii="仿宋_GB2312" w:hAnsi="仿宋_GB2312" w:eastAsia="仿宋_GB2312" w:cs="仿宋_GB2312"/>
          <w:color w:val="auto"/>
          <w:kern w:val="2"/>
          <w:sz w:val="32"/>
          <w:szCs w:val="32"/>
          <w:lang w:val="en-US" w:eastAsia="zh-CN" w:bidi="ar"/>
        </w:rPr>
        <w:t>研究</w:t>
      </w:r>
    </w:p>
    <w:p w14:paraId="3859C22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1</w:t>
      </w:r>
      <w:r>
        <w:rPr>
          <w:rFonts w:hint="eastAsia" w:ascii="仿宋_GB2312" w:hAnsi="仿宋_GB2312" w:eastAsia="仿宋_GB2312" w:cs="仿宋_GB2312"/>
          <w:color w:val="auto"/>
          <w:kern w:val="2"/>
          <w:sz w:val="32"/>
          <w:szCs w:val="32"/>
          <w:lang w:eastAsia="zh-CN" w:bidi="ar"/>
        </w:rPr>
        <w:t>5</w:t>
      </w:r>
      <w:r>
        <w:rPr>
          <w:rFonts w:hint="eastAsia" w:ascii="仿宋_GB2312" w:hAnsi="仿宋_GB2312" w:eastAsia="仿宋_GB2312" w:cs="仿宋_GB2312"/>
          <w:color w:val="auto"/>
          <w:kern w:val="2"/>
          <w:sz w:val="32"/>
          <w:szCs w:val="32"/>
          <w:lang w:val="en-US" w:eastAsia="zh-CN" w:bidi="ar"/>
        </w:rPr>
        <w:t>.新时代立德树人机制综合改革试点推进机制研究</w:t>
      </w:r>
    </w:p>
    <w:p w14:paraId="5CEA0669">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16.新时代立德树人工程实施成效监测与评估研究</w:t>
      </w:r>
    </w:p>
    <w:p w14:paraId="331B2AF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17.思政课话语体系与新时代青少年话语模式融合研究</w:t>
      </w:r>
    </w:p>
    <w:p w14:paraId="1CB72D4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18.省域整体推进“大思政课”建设机制研究</w:t>
      </w:r>
    </w:p>
    <w:p w14:paraId="258A9720">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bidi="ar"/>
        </w:rPr>
        <w:t>19.新时代高校思政课教师评价机制改革研究</w:t>
      </w:r>
    </w:p>
    <w:p w14:paraId="0EEDA29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bidi="ar"/>
        </w:rPr>
        <w:t>20</w:t>
      </w:r>
      <w:r>
        <w:rPr>
          <w:rFonts w:hint="eastAsia" w:ascii="仿宋_GB2312" w:hAnsi="仿宋_GB2312" w:eastAsia="仿宋_GB2312" w:cs="仿宋_GB2312"/>
          <w:color w:val="auto"/>
          <w:kern w:val="2"/>
          <w:sz w:val="32"/>
          <w:szCs w:val="32"/>
          <w:lang w:val="en-US" w:eastAsia="zh-CN" w:bidi="ar"/>
        </w:rPr>
        <w:t>.思政课教师网络育人能力提升研究</w:t>
      </w:r>
    </w:p>
    <w:p w14:paraId="70AC9DD6">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bidi="ar"/>
        </w:rPr>
        <w:t>21</w:t>
      </w:r>
      <w:r>
        <w:rPr>
          <w:rFonts w:hint="eastAsia" w:ascii="仿宋_GB2312" w:hAnsi="仿宋_GB2312" w:eastAsia="仿宋_GB2312" w:cs="仿宋_GB2312"/>
          <w:color w:val="auto"/>
          <w:kern w:val="2"/>
          <w:sz w:val="32"/>
          <w:szCs w:val="32"/>
          <w:lang w:val="en-US" w:eastAsia="zh-CN" w:bidi="ar"/>
        </w:rPr>
        <w:t>.高校思政课数智化建设重难点问题及解决策略研究</w:t>
      </w:r>
    </w:p>
    <w:p w14:paraId="42DEFD1C">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bidi="ar"/>
        </w:rPr>
        <w:t>22</w:t>
      </w:r>
      <w:r>
        <w:rPr>
          <w:rFonts w:hint="eastAsia" w:ascii="仿宋_GB2312" w:hAnsi="仿宋_GB2312" w:eastAsia="仿宋_GB2312" w:cs="仿宋_GB2312"/>
          <w:color w:val="auto"/>
          <w:kern w:val="2"/>
          <w:sz w:val="32"/>
          <w:szCs w:val="32"/>
          <w:lang w:val="en-US" w:eastAsia="zh-CN" w:bidi="ar"/>
        </w:rPr>
        <w:t>.高校马克思主义学院治理体系和治理能力现代化研究</w:t>
      </w:r>
    </w:p>
    <w:p w14:paraId="239C33E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eastAsia="zh-CN" w:bidi="ar"/>
        </w:rPr>
        <w:t>23</w:t>
      </w:r>
      <w:r>
        <w:rPr>
          <w:rFonts w:hint="eastAsia" w:ascii="仿宋_GB2312" w:hAnsi="仿宋_GB2312" w:eastAsia="仿宋_GB2312" w:cs="仿宋_GB2312"/>
          <w:color w:val="auto"/>
          <w:kern w:val="2"/>
          <w:sz w:val="32"/>
          <w:szCs w:val="32"/>
          <w:lang w:val="en-US" w:eastAsia="zh-CN" w:bidi="ar"/>
        </w:rPr>
        <w:t>.</w:t>
      </w:r>
      <w:r>
        <w:rPr>
          <w:rFonts w:hint="eastAsia" w:ascii="仿宋_GB2312" w:hAnsi="仿宋_GB2312" w:eastAsia="仿宋_GB2312" w:cs="仿宋_GB2312"/>
          <w:color w:val="auto"/>
          <w:kern w:val="2"/>
          <w:sz w:val="32"/>
          <w:szCs w:val="32"/>
          <w:lang w:eastAsia="zh-CN" w:bidi="ar"/>
        </w:rPr>
        <w:t>思政引领力指数</w:t>
      </w:r>
      <w:r>
        <w:rPr>
          <w:rFonts w:hint="eastAsia" w:ascii="仿宋_GB2312" w:hAnsi="仿宋_GB2312" w:eastAsia="仿宋_GB2312" w:cs="仿宋_GB2312"/>
          <w:color w:val="auto"/>
          <w:kern w:val="2"/>
          <w:sz w:val="32"/>
          <w:szCs w:val="32"/>
          <w:lang w:val="en-US" w:eastAsia="zh-CN" w:bidi="ar"/>
        </w:rPr>
        <w:t>开发和应用研究</w:t>
      </w:r>
    </w:p>
    <w:p w14:paraId="36A1E98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24.思政课程与课程思政同向同行的协同育人机制研究</w:t>
      </w:r>
    </w:p>
    <w:p w14:paraId="5C6C80C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25.“两个结合”融入思政课的创新路径研究</w:t>
      </w:r>
    </w:p>
    <w:p w14:paraId="4DE7AF1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26.教育系统加快推进哲学社会科学自主知识体系建设研究</w:t>
      </w:r>
    </w:p>
    <w:p w14:paraId="138CD9D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27.高校党的创新理论研究阐释与思政教育协同机制研究</w:t>
      </w:r>
    </w:p>
    <w:p w14:paraId="7497062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28.学校家庭社会协同育人机制与思政教育融合研究</w:t>
      </w:r>
    </w:p>
    <w:p w14:paraId="34D11636">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bidi="ar"/>
        </w:rPr>
        <w:t>29.学校仪式教育体系建设与品牌塑造研究</w:t>
      </w:r>
    </w:p>
    <w:p w14:paraId="450BCE1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bidi="ar"/>
        </w:rPr>
        <w:t>30.学校培育和践行社会主义核心价值观创新机制研究</w:t>
      </w:r>
    </w:p>
    <w:p w14:paraId="77C30CA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bidi="ar"/>
        </w:rPr>
        <w:t>31.铸牢中华民族共同体意识融入立德树人全过程研究</w:t>
      </w:r>
    </w:p>
    <w:p w14:paraId="0B5C2EA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bidi="ar"/>
        </w:rPr>
        <w:t>32.推动辅导员队伍成为高校“第四支队伍”建设研究</w:t>
      </w:r>
    </w:p>
    <w:p w14:paraId="273EEEDB">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bidi="ar"/>
        </w:rPr>
        <w:t>33.新时代高校辅导员职业化专业化专家化体系建设研究</w:t>
      </w:r>
    </w:p>
    <w:p w14:paraId="23A62D47">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bidi="ar"/>
        </w:rPr>
        <w:t>34.高校“一站式”学生社区综合管理模式建设研究</w:t>
      </w:r>
    </w:p>
    <w:p w14:paraId="2B5F4055">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bidi="ar"/>
        </w:rPr>
        <w:t>3</w:t>
      </w:r>
      <w:r>
        <w:rPr>
          <w:rFonts w:hint="eastAsia" w:ascii="仿宋_GB2312" w:hAnsi="仿宋_GB2312" w:eastAsia="仿宋_GB2312" w:cs="仿宋_GB2312"/>
          <w:color w:val="auto"/>
          <w:kern w:val="2"/>
          <w:sz w:val="32"/>
          <w:szCs w:val="32"/>
          <w:lang w:val="en-US" w:eastAsia="zh-CN" w:bidi="ar"/>
        </w:rPr>
        <w:t>5.新时代高校学生社区课程建设研究</w:t>
      </w:r>
    </w:p>
    <w:p w14:paraId="6C1C63A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bidi="ar"/>
        </w:rPr>
        <w:t>3</w:t>
      </w:r>
      <w:r>
        <w:rPr>
          <w:rFonts w:hint="eastAsia" w:ascii="仿宋_GB2312" w:hAnsi="仿宋_GB2312" w:eastAsia="仿宋_GB2312" w:cs="仿宋_GB2312"/>
          <w:color w:val="auto"/>
          <w:kern w:val="2"/>
          <w:sz w:val="32"/>
          <w:szCs w:val="32"/>
          <w:lang w:val="en-US" w:eastAsia="zh-CN" w:bidi="ar"/>
        </w:rPr>
        <w:t>6.推进</w:t>
      </w:r>
      <w:r>
        <w:rPr>
          <w:rFonts w:hint="eastAsia" w:ascii="仿宋_GB2312" w:hAnsi="仿宋_GB2312" w:eastAsia="仿宋_GB2312" w:cs="仿宋_GB2312"/>
          <w:color w:val="auto"/>
          <w:kern w:val="2"/>
          <w:sz w:val="32"/>
          <w:szCs w:val="32"/>
          <w:lang w:val="en-US" w:eastAsia="zh" w:bidi="ar"/>
        </w:rPr>
        <w:t>新时代大学生道德文化素养建设研究</w:t>
      </w:r>
    </w:p>
    <w:p w14:paraId="2678FFB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bidi="ar"/>
        </w:rPr>
        <w:t>3</w:t>
      </w:r>
      <w:r>
        <w:rPr>
          <w:rFonts w:hint="eastAsia" w:ascii="仿宋_GB2312" w:hAnsi="仿宋_GB2312" w:eastAsia="仿宋_GB2312" w:cs="仿宋_GB2312"/>
          <w:color w:val="auto"/>
          <w:kern w:val="2"/>
          <w:sz w:val="32"/>
          <w:szCs w:val="32"/>
          <w:lang w:val="en-US" w:eastAsia="zh-CN" w:bidi="ar"/>
        </w:rPr>
        <w:t>7.海南自贸港政策知识融入高校思想政治教育工作研究</w:t>
      </w:r>
    </w:p>
    <w:p w14:paraId="26B7D07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eastAsia="zh-CN" w:bidi="ar"/>
        </w:rPr>
        <w:t>3</w:t>
      </w:r>
      <w:r>
        <w:rPr>
          <w:rFonts w:hint="eastAsia" w:ascii="仿宋_GB2312" w:hAnsi="仿宋_GB2312" w:eastAsia="仿宋_GB2312" w:cs="仿宋_GB2312"/>
          <w:color w:val="auto"/>
          <w:kern w:val="2"/>
          <w:sz w:val="32"/>
          <w:szCs w:val="32"/>
          <w:lang w:val="en-US" w:eastAsia="zh-CN" w:bidi="ar"/>
        </w:rPr>
        <w:t>8.防范学生参与离岛免税“套代购”行为研究</w:t>
      </w:r>
    </w:p>
    <w:p w14:paraId="1033E50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bidi="ar"/>
        </w:rPr>
        <w:t>39.廉洁文化进校园的理论与实践研究</w:t>
      </w:r>
    </w:p>
    <w:p w14:paraId="271EDD5F">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bidi="ar"/>
        </w:rPr>
        <w:t>40.高校网络文化建设研究</w:t>
      </w:r>
    </w:p>
    <w:p w14:paraId="4B5B6077">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41.新时代教育系统精神文明建设研究</w:t>
      </w:r>
    </w:p>
    <w:p w14:paraId="63B47BE7">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42.“五育并举”促进学生心理健康的体制机制研究</w:t>
      </w:r>
    </w:p>
    <w:p w14:paraId="7BA2B039">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43.高校国防育人共同体建设研究</w:t>
      </w:r>
    </w:p>
    <w:p w14:paraId="2D38089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44.新时代加强和改进高校统一战线与民族宗教工作研究</w:t>
      </w:r>
    </w:p>
    <w:p w14:paraId="3DD06D8C">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
        </w:rPr>
        <w:t>45.学校主流意识形态引领力提升研究</w:t>
      </w:r>
    </w:p>
    <w:p w14:paraId="5D82203C">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
        </w:rPr>
        <w:sectPr>
          <w:footerReference r:id="rId3" w:type="default"/>
          <w:footerReference r:id="rId4" w:type="even"/>
          <w:pgSz w:w="11906" w:h="16838"/>
          <w:pgMar w:top="1814" w:right="1417" w:bottom="1417" w:left="1474" w:header="851" w:footer="1446" w:gutter="0"/>
          <w:cols w:space="720" w:num="1"/>
          <w:docGrid w:type="lines" w:linePitch="312" w:charSpace="0"/>
        </w:sectPr>
      </w:pPr>
      <w:r>
        <w:rPr>
          <w:rFonts w:hint="eastAsia" w:ascii="仿宋_GB2312" w:hAnsi="仿宋_GB2312" w:eastAsia="仿宋_GB2312" w:cs="仿宋_GB2312"/>
          <w:color w:val="auto"/>
          <w:kern w:val="2"/>
          <w:sz w:val="32"/>
          <w:szCs w:val="32"/>
          <w:lang w:val="en-US" w:eastAsia="zh-CN" w:bidi="ar"/>
        </w:rPr>
        <w:t>46.坚持“四全育人”理念实现高校思政工作提质增效研究</w:t>
      </w:r>
    </w:p>
    <w:p w14:paraId="01E37C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51D5AD36">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57FDB">
    <w:pPr>
      <w:pStyle w:val="3"/>
      <w:rPr>
        <w:rFonts w:hint="eastAsia" w:ascii="宋体"/>
        <w:sz w:val="28"/>
      </w:rPr>
    </w:pPr>
    <w:r>
      <w:rPr>
        <w:rStyle w:val="6"/>
        <w:rFonts w:hint="eastAsia" w:ascii="宋体"/>
        <w:sz w:val="28"/>
      </w:rPr>
      <w:t xml:space="preserve">                                                      — </w:t>
    </w:r>
    <w:r>
      <w:rPr>
        <w:rFonts w:ascii="宋体"/>
        <w:sz w:val="28"/>
      </w:rPr>
      <w:fldChar w:fldCharType="begin"/>
    </w:r>
    <w:r>
      <w:rPr>
        <w:rStyle w:val="6"/>
        <w:rFonts w:ascii="宋体"/>
        <w:sz w:val="28"/>
      </w:rPr>
      <w:instrText xml:space="preserve"> PAGE </w:instrText>
    </w:r>
    <w:r>
      <w:rPr>
        <w:rFonts w:ascii="宋体"/>
        <w:sz w:val="28"/>
      </w:rPr>
      <w:fldChar w:fldCharType="separate"/>
    </w:r>
    <w:r>
      <w:rPr>
        <w:rStyle w:val="6"/>
        <w:rFonts w:ascii="宋体"/>
        <w:sz w:val="28"/>
      </w:rPr>
      <w:t>1</w:t>
    </w:r>
    <w:r>
      <w:rPr>
        <w:rFonts w:ascii="宋体"/>
        <w:sz w:val="28"/>
      </w:rPr>
      <w:fldChar w:fldCharType="end"/>
    </w:r>
    <w:r>
      <w:rPr>
        <w:rStyle w:val="6"/>
        <w:rFonts w:hint="eastAsia" w:ascii="宋体"/>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7A11F">
    <w:pPr>
      <w:pStyle w:val="3"/>
      <w:rPr>
        <w:rFonts w:hint="eastAsia" w:ascii="宋体"/>
        <w:sz w:val="28"/>
      </w:rPr>
    </w:pPr>
    <w:r>
      <w:rPr>
        <w:rStyle w:val="6"/>
        <w:rFonts w:hint="eastAsia" w:ascii="宋体"/>
        <w:sz w:val="28"/>
      </w:rPr>
      <w:t xml:space="preserve">   — </w:t>
    </w:r>
    <w:r>
      <w:rPr>
        <w:rFonts w:ascii="宋体"/>
        <w:sz w:val="28"/>
      </w:rPr>
      <w:fldChar w:fldCharType="begin"/>
    </w:r>
    <w:r>
      <w:rPr>
        <w:rStyle w:val="6"/>
        <w:rFonts w:ascii="宋体"/>
        <w:sz w:val="28"/>
      </w:rPr>
      <w:instrText xml:space="preserve"> PAGE </w:instrText>
    </w:r>
    <w:r>
      <w:rPr>
        <w:rFonts w:ascii="宋体"/>
        <w:sz w:val="28"/>
      </w:rPr>
      <w:fldChar w:fldCharType="separate"/>
    </w:r>
    <w:r>
      <w:rPr>
        <w:rStyle w:val="6"/>
        <w:rFonts w:ascii="宋体"/>
        <w:sz w:val="28"/>
      </w:rPr>
      <w:t>2</w:t>
    </w:r>
    <w:r>
      <w:rPr>
        <w:rFonts w:ascii="宋体"/>
        <w:sz w:val="28"/>
      </w:rPr>
      <w:fldChar w:fldCharType="end"/>
    </w:r>
    <w:r>
      <w:rPr>
        <w:rStyle w:val="6"/>
        <w:rFonts w:hint="eastAsia" w:ascii="宋体"/>
        <w:sz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5B61CA"/>
    <w:rsid w:val="375B6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unhideWhenUsed/>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2026-08-27T08:38:00Z</dcterms:created>
  <dc:creator>lainey</dc:creator>
  <cp:lastModifiedBy>lainey</cp:lastModifiedBy>
  <dcterms:modified xsi:type="dcterms:W3CDTF">2026-08-27T08:39:18Z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C619F6C7147646A286D58B1F1CFA1D2D_11</vt:lpwstr>
  </property>
  <property fmtid="{D5CDD505-2E9C-101B-9397-08002B2CF9AE}" pid="4" name="KSOTemplateDocerSaveRecord">
    <vt:lpwstr>eyJoZGlkIjoiODU0YmY4OWUwMTZkMmExYzRlMGQyZWNhNDQ1OWE3YWYiLCJ1c2VySWQiOiI5NzA3NDk5MDAifQ==</vt:lpwstr>
  </property>
</Properties>
</file>